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7521" w14:textId="77777777" w:rsidR="005417D8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</w:t>
      </w:r>
    </w:p>
    <w:p w14:paraId="09BC7E22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417D8" w:rsidRPr="004454AA" w14:paraId="66906F40" w14:textId="77777777" w:rsidTr="002B5074">
        <w:tc>
          <w:tcPr>
            <w:tcW w:w="9854" w:type="dxa"/>
            <w:shd w:val="clear" w:color="auto" w:fill="E7E6E6"/>
          </w:tcPr>
          <w:p w14:paraId="1F3F9DAB" w14:textId="77777777" w:rsidR="005417D8" w:rsidRPr="004454AA" w:rsidRDefault="005417D8" w:rsidP="002B5074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Hlk115423440"/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  <w:t>TROŠKOVNIK</w:t>
            </w:r>
          </w:p>
        </w:tc>
      </w:tr>
      <w:bookmarkEnd w:id="0"/>
    </w:tbl>
    <w:p w14:paraId="4E08EB0D" w14:textId="77777777" w:rsidR="005417D8" w:rsidRPr="004454AA" w:rsidRDefault="005417D8" w:rsidP="00541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2E34C7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2AB9514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B82F17E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9771E5B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9D449A6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1A2ED0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829C4F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88131E" w14:textId="66B7D01A" w:rsidR="005417D8" w:rsidRPr="004454AA" w:rsidRDefault="00EF7F79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7F79">
        <w:rPr>
          <w:rFonts w:ascii="Times New Roman" w:eastAsia="Times New Roman" w:hAnsi="Times New Roman" w:cs="Times New Roman"/>
          <w:bCs/>
          <w:sz w:val="24"/>
          <w:szCs w:val="24"/>
        </w:rPr>
        <w:t xml:space="preserve">SANACIJA NESTABILNOG POKOSA S POJAČANIM ODRŽAVANJEM DIJELA PROMETNICE, </w:t>
      </w:r>
      <w:proofErr w:type="spellStart"/>
      <w:r w:rsidRPr="00EF7F79">
        <w:rPr>
          <w:rFonts w:ascii="Times New Roman" w:eastAsia="Times New Roman" w:hAnsi="Times New Roman" w:cs="Times New Roman"/>
          <w:bCs/>
          <w:sz w:val="24"/>
          <w:szCs w:val="24"/>
        </w:rPr>
        <w:t>k.č</w:t>
      </w:r>
      <w:proofErr w:type="spellEnd"/>
      <w:r w:rsidRPr="00EF7F79">
        <w:rPr>
          <w:rFonts w:ascii="Times New Roman" w:eastAsia="Times New Roman" w:hAnsi="Times New Roman" w:cs="Times New Roman"/>
          <w:bCs/>
          <w:sz w:val="24"/>
          <w:szCs w:val="24"/>
        </w:rPr>
        <w:t>. 2571/61B, 2571/18, 2571/19, 2571/9, 2571/33, k.o. NOVI DVORI KLANJEČKI, OPĆINA KRALJEVEC NA SUTLI</w:t>
      </w:r>
    </w:p>
    <w:p w14:paraId="05189CBC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41810F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00EF19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E152F8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sz w:val="24"/>
          <w:szCs w:val="24"/>
        </w:rPr>
        <w:t>Troškovnik ovog postupka jednostavne nabave nalazi se kao prilog ovog Poziva na dostavu ponuda i dostavlja se kao u sklopu Poziva na isti način.</w:t>
      </w:r>
    </w:p>
    <w:p w14:paraId="3D38D979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8FBC7A8" w14:textId="77777777" w:rsidR="005417D8" w:rsidRDefault="005417D8" w:rsidP="005417D8"/>
    <w:p w14:paraId="037D6F1C" w14:textId="77777777" w:rsidR="00A37938" w:rsidRDefault="00A37938"/>
    <w:sectPr w:rsidR="00A3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D8"/>
    <w:rsid w:val="005417D8"/>
    <w:rsid w:val="00A37938"/>
    <w:rsid w:val="00E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1EBA"/>
  <w15:chartTrackingRefBased/>
  <w15:docId w15:val="{B8F8705C-7FFF-4618-A00F-DE68709D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Lucija Kolić</cp:lastModifiedBy>
  <cp:revision>2</cp:revision>
  <dcterms:created xsi:type="dcterms:W3CDTF">2023-02-21T09:14:00Z</dcterms:created>
  <dcterms:modified xsi:type="dcterms:W3CDTF">2023-02-21T09:14:00Z</dcterms:modified>
</cp:coreProperties>
</file>