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
        <w:jc w:val="center"/>
        <w:rPr/>
      </w:pPr>
      <w:bookmarkStart w:id="0" w:name="_Toc468978617"/>
      <w:r>
        <w:rPr>
          <w:rFonts w:ascii="Arial Narrow" w:hAnsi="Arial Narrow"/>
          <w:sz w:val="24"/>
          <w:szCs w:val="24"/>
        </w:rPr>
        <w:t xml:space="preserve"> </w:t>
      </w:r>
      <w:bookmarkEnd w:id="0"/>
      <w:r>
        <w:rPr>
          <w:rFonts w:ascii="Arial Narrow" w:hAnsi="Arial Narrow"/>
          <w:sz w:val="24"/>
          <w:szCs w:val="24"/>
        </w:rPr>
        <w:t>Obrazac Izvješća o savjetovanju s javnošću</w:t>
      </w:r>
    </w:p>
    <w:tbl>
      <w:tblPr>
        <w:tblW w:w="9243" w:type="dxa"/>
        <w:jc w:val="left"/>
        <w:tblInd w:w="-15" w:type="dxa"/>
        <w:tblBorders>
          <w:top w:val="single" w:sz="4" w:space="0" w:color="00000A"/>
          <w:left w:val="single" w:sz="4" w:space="0" w:color="00000A"/>
          <w:bottom w:val="single" w:sz="4" w:space="0" w:color="365F91"/>
          <w:right w:val="single" w:sz="4" w:space="0" w:color="00000A"/>
          <w:insideH w:val="single" w:sz="4" w:space="0" w:color="365F91"/>
          <w:insideV w:val="single" w:sz="4" w:space="0" w:color="00000A"/>
        </w:tblBorders>
        <w:tblCellMar>
          <w:top w:w="0" w:type="dxa"/>
          <w:left w:w="93" w:type="dxa"/>
          <w:bottom w:w="0" w:type="dxa"/>
          <w:right w:w="108" w:type="dxa"/>
        </w:tblCellMar>
        <w:tblLook w:val="01e0"/>
      </w:tblPr>
      <w:tblGrid>
        <w:gridCol w:w="3942"/>
        <w:gridCol w:w="5300"/>
      </w:tblGrid>
      <w:tr>
        <w:trPr>
          <w:trHeight w:val="1416" w:hRule="atLeast"/>
        </w:trPr>
        <w:tc>
          <w:tcPr>
            <w:tcW w:w="9242" w:type="dxa"/>
            <w:gridSpan w:val="2"/>
            <w:tcBorders>
              <w:top w:val="single" w:sz="4" w:space="0" w:color="00000A"/>
              <w:left w:val="single" w:sz="4" w:space="0" w:color="00000A"/>
              <w:bottom w:val="single" w:sz="4" w:space="0" w:color="365F91"/>
              <w:right w:val="single" w:sz="4" w:space="0" w:color="00000A"/>
              <w:insideH w:val="single" w:sz="4" w:space="0" w:color="365F91"/>
              <w:insideV w:val="single" w:sz="4" w:space="0" w:color="00000A"/>
            </w:tcBorders>
            <w:shd w:color="auto" w:fill="B8CCE4" w:val="clear"/>
            <w:tcMar>
              <w:left w:w="93" w:type="dxa"/>
            </w:tcMar>
            <w:vAlign w:val="center"/>
          </w:tcPr>
          <w:p>
            <w:pPr>
              <w:pStyle w:val="Normal"/>
              <w:spacing w:lineRule="auto" w:line="240" w:before="0" w:after="0"/>
              <w:jc w:val="center"/>
              <w:rPr>
                <w:rFonts w:ascii="Arial Narrow" w:hAnsi="Arial Narrow" w:cs="Times New Roman"/>
                <w:b/>
                <w:b/>
                <w:bCs/>
                <w:sz w:val="20"/>
                <w:szCs w:val="20"/>
              </w:rPr>
            </w:pPr>
            <w:r>
              <w:rPr>
                <w:rFonts w:cs="Times New Roman" w:ascii="Arial Narrow" w:hAnsi="Arial Narrow"/>
                <w:b/>
                <w:bCs/>
                <w:sz w:val="20"/>
                <w:szCs w:val="20"/>
              </w:rPr>
              <w:t>IZVJEŠĆE O SAVJETOVANJU S JAVNOŠĆU</w:t>
            </w:r>
          </w:p>
          <w:p>
            <w:pPr>
              <w:pStyle w:val="Normal"/>
              <w:spacing w:lineRule="auto" w:line="240" w:before="0" w:after="0"/>
              <w:jc w:val="center"/>
              <w:rPr/>
            </w:pPr>
            <w:r>
              <w:rPr>
                <w:rFonts w:cs="Times New Roman" w:ascii="Arial Narrow" w:hAnsi="Arial Narrow"/>
                <w:b/>
                <w:bCs/>
                <w:sz w:val="20"/>
                <w:szCs w:val="20"/>
              </w:rPr>
              <w:t>U POSTUPKU DONOŠENJA PRORAČUNA OPĆINE KRALJEVEC NA SUTLI ZA 2019. GODINU I PROJEKCIJA ZA 2020. I 2021. GODINU</w:t>
            </w:r>
          </w:p>
          <w:p>
            <w:pPr>
              <w:pStyle w:val="Normal"/>
              <w:spacing w:lineRule="auto" w:line="240" w:before="0" w:after="0"/>
              <w:jc w:val="center"/>
              <w:rPr>
                <w:rFonts w:ascii="Arial Narrow" w:hAnsi="Arial Narrow" w:cs="Times New Roman"/>
                <w:b/>
                <w:b/>
                <w:bCs/>
                <w:sz w:val="20"/>
                <w:szCs w:val="20"/>
              </w:rPr>
            </w:pPr>
            <w:r>
              <w:rPr>
                <w:rFonts w:cs="Times New Roman" w:ascii="Arial Narrow" w:hAnsi="Arial Narrow"/>
                <w:b/>
                <w:bCs/>
                <w:sz w:val="20"/>
                <w:szCs w:val="20"/>
              </w:rPr>
            </w:r>
          </w:p>
          <w:p>
            <w:pPr>
              <w:pStyle w:val="Normal"/>
              <w:spacing w:lineRule="auto" w:line="240" w:before="0" w:after="0"/>
              <w:jc w:val="center"/>
              <w:rPr/>
            </w:pPr>
            <w:r>
              <w:rPr>
                <w:rFonts w:cs="Times New Roman" w:ascii="Arial Narrow" w:hAnsi="Arial Narrow"/>
                <w:b/>
                <w:bCs/>
                <w:sz w:val="20"/>
                <w:szCs w:val="20"/>
              </w:rPr>
              <w:t>Nositelj izrade izvješća: koordinator za savjetovanje s javnošću</w:t>
            </w:r>
          </w:p>
          <w:p>
            <w:pPr>
              <w:pStyle w:val="Normal"/>
              <w:spacing w:lineRule="auto" w:line="240" w:before="0" w:after="0"/>
              <w:jc w:val="center"/>
              <w:rPr/>
            </w:pPr>
            <w:r>
              <w:rPr>
                <w:rFonts w:cs="Times New Roman" w:ascii="Arial Narrow" w:hAnsi="Arial Narrow"/>
                <w:b/>
                <w:bCs/>
                <w:sz w:val="20"/>
                <w:szCs w:val="20"/>
              </w:rPr>
              <w:t>Kraljevec na Sutli, 17.12.2018.</w:t>
            </w:r>
          </w:p>
        </w:tc>
      </w:tr>
      <w:tr>
        <w:trPr/>
        <w:tc>
          <w:tcPr>
            <w:tcW w:w="394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auto" w:val="clear"/>
            <w:tcMar>
              <w:left w:w="93" w:type="dxa"/>
            </w:tcMar>
            <w:vAlign w:val="center"/>
          </w:tcPr>
          <w:p>
            <w:pPr>
              <w:pStyle w:val="Normal"/>
              <w:spacing w:lineRule="auto" w:line="240" w:before="0" w:after="120"/>
              <w:rPr>
                <w:rFonts w:ascii="Arial Narrow" w:hAnsi="Arial Narrow" w:cs="Times New Roman"/>
                <w:b/>
                <w:b/>
                <w:bCs/>
                <w:sz w:val="20"/>
                <w:szCs w:val="20"/>
              </w:rPr>
            </w:pPr>
            <w:r>
              <w:rPr>
                <w:rFonts w:cs="Times New Roman" w:ascii="Arial Narrow" w:hAnsi="Arial Narrow"/>
                <w:b/>
                <w:bCs/>
                <w:sz w:val="20"/>
                <w:szCs w:val="20"/>
              </w:rPr>
              <w:t xml:space="preserve">Naziv akta za koji je provedeno savjetovanje s javnošću </w:t>
            </w:r>
          </w:p>
        </w:tc>
        <w:tc>
          <w:tcPr>
            <w:tcW w:w="530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auto" w:val="clear"/>
            <w:tcMar>
              <w:left w:w="93" w:type="dxa"/>
            </w:tcMar>
            <w:vAlign w:val="center"/>
          </w:tcPr>
          <w:p>
            <w:pPr>
              <w:pStyle w:val="Normal"/>
              <w:spacing w:lineRule="auto" w:line="240" w:before="0" w:after="120"/>
              <w:jc w:val="center"/>
              <w:rPr/>
            </w:pPr>
            <w:r>
              <w:rPr>
                <w:rFonts w:cs="Times New Roman" w:ascii="Arial Narrow" w:hAnsi="Arial Narrow"/>
                <w:b/>
                <w:bCs/>
                <w:sz w:val="20"/>
                <w:szCs w:val="20"/>
              </w:rPr>
              <w:t>PRORAČUN OPĆINE KRALJEVEC NA SUTLI ZA 2019. GODINU I PROJEKCIJA ZA 2020. I 2021. GODINU</w:t>
            </w:r>
          </w:p>
        </w:tc>
      </w:tr>
      <w:tr>
        <w:trPr/>
        <w:tc>
          <w:tcPr>
            <w:tcW w:w="394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auto" w:val="clear"/>
            <w:tcMar>
              <w:left w:w="93" w:type="dxa"/>
            </w:tcMar>
            <w:vAlign w:val="center"/>
          </w:tcPr>
          <w:p>
            <w:pPr>
              <w:pStyle w:val="Normal"/>
              <w:spacing w:lineRule="auto" w:line="240" w:before="0" w:after="120"/>
              <w:rPr>
                <w:rFonts w:ascii="Arial Narrow" w:hAnsi="Arial Narrow" w:cs="Times New Roman"/>
                <w:b/>
                <w:b/>
                <w:bCs/>
                <w:sz w:val="20"/>
                <w:szCs w:val="20"/>
              </w:rPr>
            </w:pPr>
            <w:r>
              <w:rPr>
                <w:rFonts w:cs="Times New Roman" w:ascii="Arial Narrow" w:hAnsi="Arial Narrow"/>
                <w:b/>
                <w:bCs/>
                <w:sz w:val="20"/>
                <w:szCs w:val="20"/>
              </w:rPr>
              <w:t xml:space="preserve">Naziv tijela nadležnog za izradu nacrta / provedbu savjetovanja </w:t>
            </w:r>
          </w:p>
        </w:tc>
        <w:tc>
          <w:tcPr>
            <w:tcW w:w="530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auto" w:val="clear"/>
            <w:tcMar>
              <w:left w:w="93" w:type="dxa"/>
            </w:tcMar>
            <w:vAlign w:val="center"/>
          </w:tcPr>
          <w:p>
            <w:pPr>
              <w:pStyle w:val="Normal"/>
              <w:spacing w:lineRule="auto" w:line="240" w:before="0" w:after="120"/>
              <w:jc w:val="center"/>
              <w:rPr>
                <w:rFonts w:ascii="Arial Narrow" w:hAnsi="Arial Narrow" w:cs="Times New Roman"/>
                <w:bCs/>
                <w:sz w:val="20"/>
                <w:szCs w:val="20"/>
              </w:rPr>
            </w:pPr>
            <w:r>
              <w:rPr>
                <w:rFonts w:cs="Times New Roman" w:ascii="Arial Narrow" w:hAnsi="Arial Narrow"/>
                <w:bCs/>
                <w:sz w:val="20"/>
                <w:szCs w:val="20"/>
              </w:rPr>
              <w:t>Jedinstveni upravni odjel Općine Kraljevec na Sutli</w:t>
            </w:r>
          </w:p>
        </w:tc>
      </w:tr>
      <w:tr>
        <w:trPr/>
        <w:tc>
          <w:tcPr>
            <w:tcW w:w="394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auto" w:val="clear"/>
            <w:tcMar>
              <w:left w:w="93" w:type="dxa"/>
            </w:tcMar>
            <w:vAlign w:val="center"/>
          </w:tcPr>
          <w:p>
            <w:pPr>
              <w:pStyle w:val="Normal"/>
              <w:spacing w:lineRule="auto" w:line="240" w:before="0" w:after="120"/>
              <w:rPr>
                <w:rFonts w:ascii="Arial Narrow" w:hAnsi="Arial Narrow" w:cs="Times New Roman"/>
                <w:b/>
                <w:b/>
                <w:bCs/>
                <w:sz w:val="20"/>
                <w:szCs w:val="20"/>
              </w:rPr>
            </w:pPr>
            <w:r>
              <w:rPr>
                <w:rFonts w:cs="Times New Roman" w:ascii="Arial Narrow" w:hAnsi="Arial Narrow"/>
                <w:b/>
                <w:bCs/>
                <w:sz w:val="20"/>
                <w:szCs w:val="20"/>
              </w:rPr>
              <w:t>Razlozi za donošenje akta i ciljevi koji se njime žele postići uz sažetak ključnih pitanja</w:t>
            </w:r>
          </w:p>
        </w:tc>
        <w:tc>
          <w:tcPr>
            <w:tcW w:w="530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auto" w:val="clear"/>
            <w:tcMar>
              <w:left w:w="93" w:type="dxa"/>
            </w:tcMar>
          </w:tcPr>
          <w:p>
            <w:pPr>
              <w:pStyle w:val="Tijeloteksta"/>
              <w:spacing w:before="0" w:after="120"/>
              <w:rPr>
                <w:rFonts w:ascii="Times New Roman" w:hAnsi="Times New Roman"/>
                <w:sz w:val="20"/>
                <w:szCs w:val="20"/>
              </w:rPr>
            </w:pPr>
            <w:r>
              <w:rPr>
                <w:rFonts w:ascii="Times New Roman" w:hAnsi="Times New Roman"/>
                <w:color w:val="333333"/>
                <w:sz w:val="20"/>
                <w:szCs w:val="20"/>
              </w:rPr>
              <w:t xml:space="preserve">U skladu s odredbama Zakona o proračunu (”Narodne novine” 87/08, 136/12 i 15/15), Pravilnika o proračunskim klasifikacijama (”Narodne novine” 26/10 i 120/13) te Pravilnika o proračunskom računovodstvu i računskom planu (”Narodne novine” 124/14 i 115/15) sačinjen je prijedlog Proračuna Općine Kraljevec na Sutli za 2019. godinu s projekcijama za 2020. i 2021. godinu. </w:t>
            </w:r>
            <w:r>
              <w:rPr>
                <w:rFonts w:cs="Times New Roman" w:ascii="Times New Roman" w:hAnsi="Times New Roman"/>
                <w:bCs/>
                <w:color w:val="333333"/>
                <w:sz w:val="20"/>
                <w:szCs w:val="20"/>
              </w:rPr>
              <w:t>Zakon o proračunu definira proračun kao akt jedinice lokalne i područne (regionalne) samouprave kojim se procjenjuju prihodi i primici te utvrđuju rashodi i izdaci jedinice lokalne i područne (regionalne) samouprave za jednu godinu te projekcije za sljedeće dvije godine, a donosi ga predstavničko tijelo. Jedan od najvažnijih načela proračuna je da isti mora biti uravnotežen, tj. ukupna visina planiranih prihoda mora biti istovjetna ukupnoj visini planiranih rashoda. Temeljni okvir za izradu proračuna predstavljaju Upute Ministarstva financija za izradu proračuna jedinica lokalne i područne (regionalne) samouprave</w:t>
            </w:r>
          </w:p>
        </w:tc>
      </w:tr>
      <w:tr>
        <w:trPr>
          <w:trHeight w:val="525" w:hRule="atLeast"/>
        </w:trPr>
        <w:tc>
          <w:tcPr>
            <w:tcW w:w="3942" w:type="dxa"/>
            <w:vMerge w:val="restart"/>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auto" w:val="clear"/>
            <w:tcMar>
              <w:left w:w="93" w:type="dxa"/>
            </w:tcMar>
            <w:vAlign w:val="center"/>
          </w:tcPr>
          <w:p>
            <w:pPr>
              <w:pStyle w:val="Normal"/>
              <w:spacing w:lineRule="auto" w:line="240" w:before="0" w:after="120"/>
              <w:rPr>
                <w:rFonts w:ascii="Arial Narrow" w:hAnsi="Arial Narrow" w:cs="Times New Roman"/>
                <w:b/>
                <w:b/>
                <w:bCs/>
                <w:sz w:val="20"/>
                <w:szCs w:val="20"/>
              </w:rPr>
            </w:pPr>
            <w:r>
              <w:rPr>
                <w:rFonts w:cs="Times New Roman" w:ascii="Arial Narrow" w:hAnsi="Arial Narrow"/>
                <w:b/>
                <w:bCs/>
                <w:sz w:val="20"/>
                <w:szCs w:val="20"/>
              </w:rPr>
              <w:t xml:space="preserve">Objava dokumenata za savjetovanje </w:t>
            </w:r>
          </w:p>
          <w:p>
            <w:pPr>
              <w:pStyle w:val="Normal"/>
              <w:spacing w:lineRule="auto" w:line="240" w:before="0" w:after="120"/>
              <w:rPr>
                <w:rFonts w:ascii="Arial Narrow" w:hAnsi="Arial Narrow" w:cs="Times New Roman"/>
                <w:b/>
                <w:b/>
                <w:bCs/>
                <w:sz w:val="20"/>
                <w:szCs w:val="20"/>
              </w:rPr>
            </w:pPr>
            <w:r>
              <w:rPr>
                <w:rFonts w:cs="Times New Roman" w:ascii="Arial Narrow" w:hAnsi="Arial Narrow"/>
                <w:b/>
                <w:bCs/>
                <w:sz w:val="20"/>
                <w:szCs w:val="20"/>
              </w:rPr>
            </w:r>
          </w:p>
          <w:p>
            <w:pPr>
              <w:pStyle w:val="Normal"/>
              <w:spacing w:lineRule="auto" w:line="240" w:before="0" w:after="120"/>
              <w:rPr>
                <w:rFonts w:ascii="Arial Narrow" w:hAnsi="Arial Narrow" w:cs="Times New Roman"/>
                <w:b/>
                <w:b/>
                <w:bCs/>
                <w:sz w:val="20"/>
                <w:szCs w:val="20"/>
              </w:rPr>
            </w:pPr>
            <w:r>
              <w:rPr>
                <w:rFonts w:cs="Times New Roman" w:ascii="Arial Narrow" w:hAnsi="Arial Narrow"/>
                <w:b/>
                <w:bCs/>
                <w:sz w:val="20"/>
                <w:szCs w:val="20"/>
              </w:rPr>
            </w:r>
          </w:p>
          <w:p>
            <w:pPr>
              <w:pStyle w:val="Normal"/>
              <w:spacing w:lineRule="auto" w:line="240" w:before="0" w:after="120"/>
              <w:rPr>
                <w:rFonts w:ascii="Arial Narrow" w:hAnsi="Arial Narrow" w:cs="Times New Roman"/>
                <w:b/>
                <w:b/>
                <w:bCs/>
                <w:sz w:val="20"/>
                <w:szCs w:val="20"/>
              </w:rPr>
            </w:pPr>
            <w:r>
              <w:rPr>
                <w:rFonts w:cs="Times New Roman" w:ascii="Arial Narrow" w:hAnsi="Arial Narrow"/>
                <w:b/>
                <w:bCs/>
                <w:sz w:val="20"/>
                <w:szCs w:val="20"/>
              </w:rPr>
              <w:t xml:space="preserve">Razdoblje provedbe savjetovanja </w:t>
            </w:r>
          </w:p>
          <w:p>
            <w:pPr>
              <w:pStyle w:val="Normal"/>
              <w:spacing w:lineRule="auto" w:line="240" w:before="0" w:after="120"/>
              <w:rPr>
                <w:rFonts w:ascii="Arial Narrow" w:hAnsi="Arial Narrow" w:cs="Times New Roman"/>
                <w:b/>
                <w:b/>
                <w:bCs/>
                <w:sz w:val="20"/>
                <w:szCs w:val="20"/>
              </w:rPr>
            </w:pPr>
            <w:r>
              <w:rPr>
                <w:rFonts w:cs="Times New Roman" w:ascii="Arial Narrow" w:hAnsi="Arial Narrow"/>
                <w:b/>
                <w:bCs/>
                <w:sz w:val="20"/>
                <w:szCs w:val="20"/>
              </w:rPr>
            </w:r>
          </w:p>
        </w:tc>
        <w:tc>
          <w:tcPr>
            <w:tcW w:w="530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auto" w:val="clear"/>
            <w:tcMar>
              <w:left w:w="93" w:type="dxa"/>
            </w:tcMar>
            <w:vAlign w:val="center"/>
          </w:tcPr>
          <w:p>
            <w:pPr>
              <w:pStyle w:val="Normal"/>
              <w:spacing w:lineRule="auto" w:line="240" w:before="0" w:after="120"/>
              <w:rPr>
                <w:rFonts w:ascii="Arial Narrow" w:hAnsi="Arial Narrow" w:cs="Times New Roman"/>
                <w:bCs/>
                <w:sz w:val="20"/>
                <w:szCs w:val="20"/>
              </w:rPr>
            </w:pPr>
            <w:r>
              <w:rPr>
                <w:rFonts w:cs="Times New Roman" w:ascii="Arial Narrow" w:hAnsi="Arial Narrow"/>
                <w:bCs/>
                <w:sz w:val="20"/>
                <w:szCs w:val="20"/>
              </w:rPr>
            </w:r>
          </w:p>
          <w:p>
            <w:pPr>
              <w:pStyle w:val="Normal"/>
              <w:spacing w:lineRule="auto" w:line="240" w:before="0" w:after="120"/>
              <w:jc w:val="center"/>
              <w:rPr/>
            </w:pPr>
            <w:r>
              <w:rPr>
                <w:rFonts w:cs="Times New Roman" w:ascii="Arial Narrow" w:hAnsi="Arial Narrow"/>
                <w:bCs/>
                <w:sz w:val="20"/>
                <w:szCs w:val="20"/>
              </w:rPr>
              <w:t xml:space="preserve"> </w:t>
            </w:r>
            <w:r>
              <w:rPr>
                <w:rFonts w:cs="Times New Roman" w:ascii="Arial Narrow" w:hAnsi="Arial Narrow"/>
                <w:bCs/>
                <w:sz w:val="20"/>
                <w:szCs w:val="20"/>
              </w:rPr>
              <w:t>/www.kraljevecnasutli.hr/otvorena-savjetovanja/</w:t>
            </w:r>
          </w:p>
        </w:tc>
      </w:tr>
      <w:tr>
        <w:trPr>
          <w:trHeight w:val="1007" w:hRule="atLeast"/>
        </w:trPr>
        <w:tc>
          <w:tcPr>
            <w:tcW w:w="3942" w:type="dxa"/>
            <w:vMerge w:val="continue"/>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auto" w:val="clear"/>
            <w:tcMar>
              <w:left w:w="93" w:type="dxa"/>
            </w:tcMar>
            <w:vAlign w:val="center"/>
          </w:tcPr>
          <w:p>
            <w:pPr>
              <w:pStyle w:val="Normal"/>
              <w:spacing w:lineRule="auto" w:line="240" w:before="0" w:after="120"/>
              <w:rPr>
                <w:rFonts w:ascii="Arial Narrow" w:hAnsi="Arial Narrow" w:cs="Times New Roman"/>
                <w:b/>
                <w:b/>
                <w:bCs/>
                <w:sz w:val="20"/>
                <w:szCs w:val="20"/>
              </w:rPr>
            </w:pPr>
            <w:r>
              <w:rPr>
                <w:rFonts w:cs="Times New Roman" w:ascii="Arial Narrow" w:hAnsi="Arial Narrow"/>
                <w:b/>
                <w:bCs/>
                <w:sz w:val="20"/>
                <w:szCs w:val="20"/>
              </w:rPr>
            </w:r>
          </w:p>
        </w:tc>
        <w:tc>
          <w:tcPr>
            <w:tcW w:w="5300" w:type="dxa"/>
            <w:tcBorders>
              <w:top w:val="single" w:sz="4" w:space="0" w:color="365F91"/>
              <w:left w:val="single" w:sz="4" w:space="0" w:color="365F91"/>
              <w:bottom w:val="single" w:sz="4" w:space="0" w:color="00000A"/>
              <w:right w:val="single" w:sz="4" w:space="0" w:color="365F91"/>
              <w:insideH w:val="single" w:sz="4" w:space="0" w:color="00000A"/>
              <w:insideV w:val="single" w:sz="4" w:space="0" w:color="365F91"/>
            </w:tcBorders>
            <w:shd w:color="auto" w:fill="auto" w:val="clear"/>
            <w:tcMar>
              <w:left w:w="93" w:type="dxa"/>
            </w:tcMar>
            <w:vAlign w:val="center"/>
          </w:tcPr>
          <w:p>
            <w:pPr>
              <w:pStyle w:val="Normal"/>
              <w:spacing w:lineRule="auto" w:line="240" w:before="0" w:after="120"/>
              <w:jc w:val="center"/>
              <w:rPr/>
            </w:pPr>
            <w:r>
              <w:rPr>
                <w:rFonts w:cs="Times New Roman" w:ascii="Arial Narrow" w:hAnsi="Arial Narrow"/>
                <w:bCs/>
                <w:sz w:val="20"/>
                <w:szCs w:val="20"/>
              </w:rPr>
              <w:t>30 dana – od 14.11.2018. do 15.12.2018.</w:t>
            </w:r>
          </w:p>
        </w:tc>
      </w:tr>
      <w:tr>
        <w:trPr/>
        <w:tc>
          <w:tcPr>
            <w:tcW w:w="394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auto" w:val="clear"/>
            <w:tcMar>
              <w:left w:w="93" w:type="dxa"/>
            </w:tcMar>
            <w:vAlign w:val="center"/>
          </w:tcPr>
          <w:p>
            <w:pPr>
              <w:pStyle w:val="Normal"/>
              <w:spacing w:lineRule="auto" w:line="240" w:before="0" w:after="120"/>
              <w:rPr>
                <w:rFonts w:ascii="Arial Narrow" w:hAnsi="Arial Narrow" w:cs="Times New Roman"/>
                <w:b/>
                <w:b/>
                <w:bCs/>
                <w:sz w:val="20"/>
                <w:szCs w:val="20"/>
              </w:rPr>
            </w:pPr>
            <w:r>
              <w:rPr>
                <w:rFonts w:cs="Times New Roman" w:ascii="Arial Narrow" w:hAnsi="Arial Narrow"/>
                <w:b/>
                <w:bCs/>
                <w:sz w:val="20"/>
                <w:szCs w:val="20"/>
              </w:rPr>
              <w:t xml:space="preserve">Pregled osnovnih pokazatelja  uključenosti savjetovanja s javnošću </w:t>
            </w:r>
          </w:p>
        </w:tc>
        <w:tc>
          <w:tcPr>
            <w:tcW w:w="530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auto" w:val="clear"/>
            <w:tcMar>
              <w:left w:w="93" w:type="dxa"/>
            </w:tcMar>
            <w:vAlign w:val="center"/>
          </w:tcPr>
          <w:p>
            <w:pPr>
              <w:pStyle w:val="Normal"/>
              <w:spacing w:lineRule="auto" w:line="240" w:before="0" w:after="120"/>
              <w:rPr/>
            </w:pPr>
            <w:r>
              <w:rPr>
                <w:rFonts w:cs="Times New Roman" w:ascii="Arial Narrow" w:hAnsi="Arial Narrow"/>
                <w:bCs/>
                <w:sz w:val="20"/>
                <w:szCs w:val="20"/>
              </w:rPr>
              <w:t xml:space="preserve">Nije bilo primjedbi </w:t>
            </w:r>
          </w:p>
        </w:tc>
      </w:tr>
      <w:tr>
        <w:trPr/>
        <w:tc>
          <w:tcPr>
            <w:tcW w:w="394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auto" w:val="clear"/>
            <w:tcMar>
              <w:left w:w="93" w:type="dxa"/>
            </w:tcMar>
            <w:vAlign w:val="center"/>
          </w:tcPr>
          <w:p>
            <w:pPr>
              <w:pStyle w:val="Normal"/>
              <w:spacing w:lineRule="auto" w:line="240" w:before="0" w:after="120"/>
              <w:rPr>
                <w:rFonts w:ascii="Arial Narrow" w:hAnsi="Arial Narrow" w:cs="Times New Roman"/>
                <w:b/>
                <w:b/>
                <w:bCs/>
                <w:sz w:val="20"/>
                <w:szCs w:val="20"/>
              </w:rPr>
            </w:pPr>
            <w:r>
              <w:rPr>
                <w:rFonts w:cs="Times New Roman" w:ascii="Arial Narrow" w:hAnsi="Arial Narrow"/>
                <w:b/>
                <w:bCs/>
                <w:sz w:val="20"/>
                <w:szCs w:val="20"/>
              </w:rPr>
              <w:t xml:space="preserve">Pregled prihvaćenih i neprihvaćenih mišljenja i prijedloga s obrazloženjem razloga za neprihvaćanje </w:t>
            </w:r>
          </w:p>
        </w:tc>
        <w:tc>
          <w:tcPr>
            <w:tcW w:w="530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auto" w:val="clear"/>
            <w:tcMar>
              <w:left w:w="93" w:type="dxa"/>
            </w:tcMar>
            <w:vAlign w:val="center"/>
          </w:tcPr>
          <w:p>
            <w:pPr>
              <w:pStyle w:val="Normal"/>
              <w:spacing w:lineRule="auto" w:line="240" w:before="0" w:after="120"/>
              <w:rPr>
                <w:rFonts w:ascii="Arial Narrow" w:hAnsi="Arial Narrow" w:cs="Times New Roman"/>
                <w:bCs/>
                <w:sz w:val="20"/>
                <w:szCs w:val="20"/>
              </w:rPr>
            </w:pPr>
            <w:r>
              <w:rPr>
                <w:rFonts w:cs="Times New Roman" w:ascii="Arial Narrow" w:hAnsi="Arial Narrow"/>
                <w:bCs/>
                <w:sz w:val="20"/>
                <w:szCs w:val="20"/>
              </w:rPr>
            </w:r>
          </w:p>
          <w:p>
            <w:pPr>
              <w:pStyle w:val="Normal"/>
              <w:spacing w:lineRule="auto" w:line="240" w:before="0" w:after="120"/>
              <w:rPr/>
            </w:pPr>
            <w:r>
              <w:rPr>
                <w:rFonts w:cs="Times New Roman" w:ascii="Arial Narrow" w:hAnsi="Arial Narrow"/>
                <w:bCs/>
                <w:sz w:val="20"/>
                <w:szCs w:val="20"/>
              </w:rPr>
              <w:t>Nije bilo primjedbi.</w:t>
            </w:r>
          </w:p>
        </w:tc>
      </w:tr>
      <w:tr>
        <w:trPr/>
        <w:tc>
          <w:tcPr>
            <w:tcW w:w="394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auto" w:val="clear"/>
            <w:tcMar>
              <w:left w:w="93" w:type="dxa"/>
            </w:tcMar>
            <w:vAlign w:val="center"/>
          </w:tcPr>
          <w:p>
            <w:pPr>
              <w:pStyle w:val="Normal"/>
              <w:spacing w:lineRule="auto" w:line="240" w:before="0" w:after="120"/>
              <w:rPr>
                <w:rFonts w:ascii="Arial Narrow" w:hAnsi="Arial Narrow" w:cs="Times New Roman"/>
                <w:b/>
                <w:b/>
                <w:bCs/>
                <w:sz w:val="20"/>
                <w:szCs w:val="20"/>
              </w:rPr>
            </w:pPr>
            <w:r>
              <w:rPr>
                <w:rFonts w:cs="Times New Roman" w:ascii="Arial Narrow" w:hAnsi="Arial Narrow"/>
                <w:b/>
                <w:bCs/>
                <w:sz w:val="20"/>
                <w:szCs w:val="20"/>
              </w:rPr>
              <w:t xml:space="preserve">Ostali oblici savjetovanja s javnošću </w:t>
            </w:r>
          </w:p>
        </w:tc>
        <w:tc>
          <w:tcPr>
            <w:tcW w:w="530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auto" w:val="clear"/>
            <w:tcMar>
              <w:left w:w="93" w:type="dxa"/>
            </w:tcMar>
            <w:vAlign w:val="center"/>
          </w:tcPr>
          <w:p>
            <w:pPr>
              <w:pStyle w:val="Normal"/>
              <w:spacing w:lineRule="auto" w:line="240" w:before="0" w:after="120"/>
              <w:rPr>
                <w:rFonts w:ascii="Arial Narrow" w:hAnsi="Arial Narrow" w:cs="Times New Roman"/>
                <w:bCs/>
                <w:sz w:val="20"/>
                <w:szCs w:val="20"/>
              </w:rPr>
            </w:pPr>
            <w:r>
              <w:rPr>
                <w:rFonts w:cs="Times New Roman" w:ascii="Arial Narrow" w:hAnsi="Arial Narrow"/>
                <w:bCs/>
                <w:sz w:val="20"/>
                <w:szCs w:val="20"/>
              </w:rPr>
            </w:r>
          </w:p>
          <w:p>
            <w:pPr>
              <w:pStyle w:val="Normal"/>
              <w:spacing w:lineRule="auto" w:line="240" w:before="0" w:after="120"/>
              <w:rPr>
                <w:rFonts w:ascii="Arial Narrow" w:hAnsi="Arial Narrow" w:cs="Times New Roman"/>
                <w:bCs/>
                <w:sz w:val="20"/>
                <w:szCs w:val="20"/>
              </w:rPr>
            </w:pPr>
            <w:r>
              <w:rPr>
                <w:rFonts w:cs="Times New Roman" w:ascii="Arial Narrow" w:hAnsi="Arial Narrow"/>
                <w:bCs/>
                <w:sz w:val="20"/>
                <w:szCs w:val="20"/>
              </w:rPr>
              <w:t>-</w:t>
            </w:r>
          </w:p>
        </w:tc>
      </w:tr>
      <w:tr>
        <w:trPr/>
        <w:tc>
          <w:tcPr>
            <w:tcW w:w="394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auto" w:val="clear"/>
            <w:tcMar>
              <w:left w:w="93" w:type="dxa"/>
            </w:tcMar>
            <w:vAlign w:val="center"/>
          </w:tcPr>
          <w:p>
            <w:pPr>
              <w:pStyle w:val="Normal"/>
              <w:spacing w:lineRule="auto" w:line="240" w:before="0" w:after="120"/>
              <w:rPr>
                <w:rFonts w:ascii="Arial Narrow" w:hAnsi="Arial Narrow" w:cs="Times New Roman"/>
                <w:b/>
                <w:b/>
                <w:bCs/>
                <w:sz w:val="20"/>
                <w:szCs w:val="20"/>
              </w:rPr>
            </w:pPr>
            <w:r>
              <w:rPr>
                <w:rFonts w:cs="Times New Roman" w:ascii="Arial Narrow" w:hAnsi="Arial Narrow"/>
                <w:b/>
                <w:bCs/>
                <w:sz w:val="20"/>
                <w:szCs w:val="20"/>
              </w:rPr>
              <w:t>Troškovi provedenog savjetovanja</w:t>
            </w:r>
          </w:p>
        </w:tc>
        <w:tc>
          <w:tcPr>
            <w:tcW w:w="530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auto" w:val="clear"/>
            <w:tcMar>
              <w:left w:w="93" w:type="dxa"/>
            </w:tcMar>
          </w:tcPr>
          <w:p>
            <w:pPr>
              <w:pStyle w:val="Normal"/>
              <w:spacing w:lineRule="auto" w:line="240" w:before="0" w:after="120"/>
              <w:jc w:val="both"/>
              <w:rPr/>
            </w:pPr>
            <w:r>
              <w:rPr>
                <w:rFonts w:cs="Times New Roman" w:ascii="Arial Narrow" w:hAnsi="Arial Narrow"/>
                <w:bCs/>
                <w:sz w:val="20"/>
                <w:szCs w:val="20"/>
              </w:rPr>
              <w:t>0,00</w:t>
            </w:r>
          </w:p>
        </w:tc>
      </w:tr>
    </w:tbl>
    <w:p>
      <w:pPr>
        <w:pStyle w:val="Normal"/>
        <w:rPr>
          <w:rFonts w:ascii="Calibri" w:hAnsi="Calibri" w:eastAsia="Calibri" w:cs="Times New Roman"/>
          <w:b/>
          <w:b/>
          <w:bCs/>
          <w:sz w:val="20"/>
          <w:szCs w:val="20"/>
          <w:lang w:eastAsia="en-US"/>
        </w:rPr>
      </w:pPr>
      <w:r>
        <w:rPr>
          <w:rFonts w:eastAsia="Calibri" w:cs="Times New Roman"/>
          <w:b/>
          <w:bCs/>
          <w:sz w:val="20"/>
          <w:szCs w:val="20"/>
          <w:lang w:eastAsia="en-US"/>
        </w:rPr>
      </w:r>
    </w:p>
    <w:p>
      <w:pPr>
        <w:pStyle w:val="Normal"/>
        <w:rPr>
          <w:rFonts w:ascii="Arial Narrow" w:hAnsi="Arial Narrow" w:eastAsia="Calibri" w:cs="Times New Roman"/>
          <w:b/>
          <w:b/>
          <w:bCs/>
          <w:sz w:val="20"/>
          <w:szCs w:val="20"/>
          <w:lang w:eastAsia="en-US"/>
        </w:rPr>
      </w:pPr>
      <w:r>
        <w:rPr/>
      </w:r>
    </w:p>
    <w:p>
      <w:pPr>
        <w:pStyle w:val="Normal"/>
        <w:rPr>
          <w:rFonts w:ascii="Arial Narrow" w:hAnsi="Arial Narrow" w:eastAsia="Calibri" w:cs="Times New Roman"/>
          <w:b/>
          <w:b/>
          <w:bCs/>
          <w:sz w:val="20"/>
          <w:szCs w:val="20"/>
          <w:lang w:eastAsia="en-US"/>
        </w:rPr>
      </w:pPr>
      <w:r>
        <w:rPr/>
      </w:r>
    </w:p>
    <w:p>
      <w:pPr>
        <w:pStyle w:val="Normal"/>
        <w:rPr>
          <w:rFonts w:ascii="Arial Narrow" w:hAnsi="Arial Narrow" w:eastAsia="Calibri" w:cs="Times New Roman"/>
          <w:b/>
          <w:b/>
          <w:bCs/>
          <w:sz w:val="20"/>
          <w:szCs w:val="20"/>
          <w:lang w:eastAsia="en-US"/>
        </w:rPr>
      </w:pPr>
      <w:r>
        <w:rPr>
          <w:rFonts w:eastAsia="Calibri" w:cs="Times New Roman" w:ascii="Arial Narrow" w:hAnsi="Arial Narrow"/>
          <w:b/>
          <w:bCs/>
          <w:sz w:val="20"/>
          <w:szCs w:val="20"/>
          <w:lang w:eastAsia="en-US"/>
        </w:rPr>
        <w:t>Prilog 1. Pregled prihvaćenih i neprihvaćenih primjedbi</w:t>
      </w:r>
    </w:p>
    <w:tbl>
      <w:tblPr>
        <w:tblW w:w="9322" w:type="dxa"/>
        <w:jc w:val="left"/>
        <w:tblInd w:w="-67" w:type="dxa"/>
        <w:tblBorders>
          <w:top w:val="single" w:sz="18" w:space="0" w:color="00000A"/>
          <w:left w:val="single" w:sz="18" w:space="0" w:color="00000A"/>
          <w:bottom w:val="single" w:sz="2" w:space="0" w:color="00000A"/>
          <w:right w:val="single" w:sz="2" w:space="0" w:color="00000A"/>
          <w:insideH w:val="single" w:sz="2" w:space="0" w:color="00000A"/>
          <w:insideV w:val="single" w:sz="2" w:space="0" w:color="00000A"/>
        </w:tblBorders>
        <w:tblCellMar>
          <w:top w:w="0" w:type="dxa"/>
          <w:left w:w="38" w:type="dxa"/>
          <w:bottom w:w="0" w:type="dxa"/>
          <w:right w:w="108" w:type="dxa"/>
        </w:tblCellMar>
        <w:tblLook w:val="04a0"/>
      </w:tblPr>
      <w:tblGrid>
        <w:gridCol w:w="769"/>
        <w:gridCol w:w="1887"/>
        <w:gridCol w:w="1985"/>
        <w:gridCol w:w="2046"/>
        <w:gridCol w:w="2635"/>
      </w:tblGrid>
      <w:tr>
        <w:trPr/>
        <w:tc>
          <w:tcPr>
            <w:tcW w:w="769" w:type="dxa"/>
            <w:tcBorders>
              <w:top w:val="single" w:sz="18" w:space="0" w:color="00000A"/>
              <w:left w:val="single" w:sz="18" w:space="0" w:color="00000A"/>
              <w:bottom w:val="single" w:sz="2" w:space="0" w:color="00000A"/>
              <w:right w:val="single" w:sz="2" w:space="0" w:color="00000A"/>
              <w:insideH w:val="single" w:sz="2" w:space="0" w:color="00000A"/>
              <w:insideV w:val="single" w:sz="2" w:space="0" w:color="00000A"/>
            </w:tcBorders>
            <w:shd w:fill="auto" w:val="clear"/>
            <w:tcMar>
              <w:left w:w="38" w:type="dxa"/>
            </w:tcMar>
            <w:vAlign w:val="center"/>
          </w:tcPr>
          <w:p>
            <w:pPr>
              <w:pStyle w:val="Normal"/>
              <w:spacing w:lineRule="auto" w:line="240" w:before="0" w:after="120"/>
              <w:jc w:val="center"/>
              <w:rPr>
                <w:rFonts w:ascii="Arial Narrow" w:hAnsi="Arial Narrow" w:cs="Times New Roman"/>
                <w:b/>
                <w:b/>
                <w:sz w:val="20"/>
                <w:szCs w:val="20"/>
              </w:rPr>
            </w:pPr>
            <w:r>
              <w:rPr>
                <w:rFonts w:cs="Times New Roman" w:ascii="Arial Narrow" w:hAnsi="Arial Narrow"/>
                <w:b/>
                <w:sz w:val="20"/>
                <w:szCs w:val="20"/>
              </w:rPr>
              <w:t>Redni broj</w:t>
            </w:r>
          </w:p>
        </w:tc>
        <w:tc>
          <w:tcPr>
            <w:tcW w:w="1887" w:type="dxa"/>
            <w:tcBorders>
              <w:top w:val="single" w:sz="18"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118" w:type="dxa"/>
            </w:tcMar>
            <w:vAlign w:val="center"/>
          </w:tcPr>
          <w:p>
            <w:pPr>
              <w:pStyle w:val="Normal"/>
              <w:spacing w:lineRule="auto" w:line="240" w:before="0" w:after="120"/>
              <w:jc w:val="center"/>
              <w:rPr>
                <w:rFonts w:ascii="Arial Narrow" w:hAnsi="Arial Narrow" w:cs="Times New Roman"/>
                <w:b/>
                <w:b/>
                <w:sz w:val="20"/>
                <w:szCs w:val="20"/>
              </w:rPr>
            </w:pPr>
            <w:r>
              <w:rPr>
                <w:rFonts w:cs="Times New Roman" w:ascii="Arial Narrow" w:hAnsi="Arial Narrow"/>
                <w:b/>
                <w:sz w:val="20"/>
                <w:szCs w:val="20"/>
              </w:rPr>
              <w:t>Sudionik savjetovanja (ime i prezime pojedinca, naziv organizacije)</w:t>
            </w:r>
          </w:p>
        </w:tc>
        <w:tc>
          <w:tcPr>
            <w:tcW w:w="1985" w:type="dxa"/>
            <w:tcBorders>
              <w:top w:val="single" w:sz="18"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118" w:type="dxa"/>
            </w:tcMar>
            <w:vAlign w:val="center"/>
          </w:tcPr>
          <w:p>
            <w:pPr>
              <w:pStyle w:val="Normal"/>
              <w:spacing w:lineRule="auto" w:line="240" w:before="0" w:after="120"/>
              <w:jc w:val="center"/>
              <w:rPr>
                <w:rFonts w:ascii="Arial Narrow" w:hAnsi="Arial Narrow" w:cs="Times New Roman"/>
                <w:b/>
                <w:b/>
                <w:sz w:val="20"/>
                <w:szCs w:val="20"/>
              </w:rPr>
            </w:pPr>
            <w:r>
              <w:rPr>
                <w:rFonts w:cs="Times New Roman" w:ascii="Arial Narrow" w:hAnsi="Arial Narrow"/>
                <w:b/>
                <w:sz w:val="20"/>
                <w:szCs w:val="20"/>
              </w:rPr>
              <w:t>Članak ili drugi dio nacrta na koji se odnosi prijedlog ili mišljenje</w:t>
            </w:r>
          </w:p>
        </w:tc>
        <w:tc>
          <w:tcPr>
            <w:tcW w:w="2046" w:type="dxa"/>
            <w:tcBorders>
              <w:top w:val="single" w:sz="18"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118" w:type="dxa"/>
            </w:tcMar>
            <w:vAlign w:val="center"/>
          </w:tcPr>
          <w:p>
            <w:pPr>
              <w:pStyle w:val="Normal"/>
              <w:spacing w:lineRule="auto" w:line="240" w:before="0" w:after="120"/>
              <w:jc w:val="center"/>
              <w:rPr>
                <w:rFonts w:ascii="Arial Narrow" w:hAnsi="Arial Narrow" w:cs="Times New Roman"/>
                <w:b/>
                <w:b/>
                <w:sz w:val="20"/>
                <w:szCs w:val="20"/>
              </w:rPr>
            </w:pPr>
            <w:r>
              <w:rPr>
                <w:rFonts w:cs="Times New Roman" w:ascii="Arial Narrow" w:hAnsi="Arial Narrow"/>
                <w:b/>
                <w:sz w:val="20"/>
                <w:szCs w:val="20"/>
              </w:rPr>
              <w:t>Tekst zaprimljenog prijedloga ili mišljenja</w:t>
            </w:r>
          </w:p>
        </w:tc>
        <w:tc>
          <w:tcPr>
            <w:tcW w:w="2635" w:type="dxa"/>
            <w:tcBorders>
              <w:top w:val="single" w:sz="18" w:space="0" w:color="00000A"/>
              <w:left w:val="single" w:sz="2" w:space="0" w:color="00000A"/>
              <w:bottom w:val="single" w:sz="2" w:space="0" w:color="00000A"/>
              <w:right w:val="single" w:sz="18" w:space="0" w:color="00000A"/>
              <w:insideH w:val="single" w:sz="2" w:space="0" w:color="00000A"/>
              <w:insideV w:val="single" w:sz="18" w:space="0" w:color="00000A"/>
            </w:tcBorders>
            <w:shd w:fill="auto" w:val="clear"/>
            <w:tcMar>
              <w:left w:w="118" w:type="dxa"/>
            </w:tcMar>
            <w:vAlign w:val="center"/>
          </w:tcPr>
          <w:p>
            <w:pPr>
              <w:pStyle w:val="Normal"/>
              <w:spacing w:lineRule="auto" w:line="240" w:before="0" w:after="120"/>
              <w:jc w:val="center"/>
              <w:rPr>
                <w:rFonts w:ascii="Arial Narrow" w:hAnsi="Arial Narrow" w:cs="Times New Roman"/>
                <w:b/>
                <w:b/>
                <w:sz w:val="20"/>
                <w:szCs w:val="20"/>
              </w:rPr>
            </w:pPr>
            <w:r>
              <w:rPr>
                <w:rFonts w:cs="Times New Roman" w:ascii="Arial Narrow" w:hAnsi="Arial Narrow"/>
                <w:b/>
                <w:sz w:val="20"/>
                <w:szCs w:val="20"/>
              </w:rPr>
              <w:t xml:space="preserve">Status prijedloga ili mišljenja (prihvaćanje/neprihvaćanje s  obrazloženjem) </w:t>
            </w:r>
          </w:p>
        </w:tc>
      </w:tr>
      <w:tr>
        <w:trPr>
          <w:trHeight w:val="567" w:hRule="atLeast"/>
        </w:trPr>
        <w:tc>
          <w:tcPr>
            <w:tcW w:w="769" w:type="dxa"/>
            <w:tcBorders>
              <w:top w:val="single" w:sz="2" w:space="0" w:color="00000A"/>
              <w:left w:val="single" w:sz="18" w:space="0" w:color="00000A"/>
              <w:bottom w:val="single" w:sz="2" w:space="0" w:color="00000A"/>
              <w:right w:val="single" w:sz="2" w:space="0" w:color="00000A"/>
              <w:insideH w:val="single" w:sz="2" w:space="0" w:color="00000A"/>
              <w:insideV w:val="single" w:sz="2" w:space="0" w:color="00000A"/>
            </w:tcBorders>
            <w:shd w:fill="auto" w:val="clear"/>
            <w:tcMar>
              <w:left w:w="38" w:type="dxa"/>
            </w:tcMar>
          </w:tcPr>
          <w:p>
            <w:pPr>
              <w:pStyle w:val="Normal"/>
              <w:spacing w:lineRule="auto" w:line="240" w:before="0" w:after="120"/>
              <w:jc w:val="both"/>
              <w:rPr>
                <w:rFonts w:ascii="Arial Narrow" w:hAnsi="Arial Narrow" w:cs="Times New Roman"/>
                <w:sz w:val="20"/>
                <w:szCs w:val="20"/>
              </w:rPr>
            </w:pPr>
            <w:r>
              <w:rPr>
                <w:rFonts w:cs="Times New Roman" w:ascii="Arial Narrow" w:hAnsi="Arial Narrow"/>
                <w:sz w:val="20"/>
                <w:szCs w:val="20"/>
              </w:rPr>
              <w:t>/</w:t>
            </w:r>
          </w:p>
        </w:tc>
        <w:tc>
          <w:tcPr>
            <w:tcW w:w="188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118" w:type="dxa"/>
            </w:tcMar>
          </w:tcPr>
          <w:p>
            <w:pPr>
              <w:pStyle w:val="Normal"/>
              <w:spacing w:lineRule="auto" w:line="240" w:before="0" w:after="120"/>
              <w:jc w:val="both"/>
              <w:rPr>
                <w:rFonts w:ascii="Arial Narrow" w:hAnsi="Arial Narrow" w:cs="Times New Roman"/>
                <w:sz w:val="20"/>
                <w:szCs w:val="20"/>
              </w:rPr>
            </w:pPr>
            <w:r>
              <w:rPr>
                <w:rFonts w:cs="Times New Roman" w:ascii="Arial Narrow" w:hAnsi="Arial Narrow"/>
                <w:sz w:val="20"/>
                <w:szCs w:val="20"/>
              </w:rPr>
              <w:t>/</w:t>
            </w:r>
          </w:p>
        </w:tc>
        <w:tc>
          <w:tcPr>
            <w:tcW w:w="198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118" w:type="dxa"/>
            </w:tcMar>
          </w:tcPr>
          <w:p>
            <w:pPr>
              <w:pStyle w:val="Normal"/>
              <w:spacing w:lineRule="auto" w:line="240" w:before="0" w:after="120"/>
              <w:jc w:val="both"/>
              <w:rPr>
                <w:rFonts w:ascii="Arial Narrow" w:hAnsi="Arial Narrow" w:cs="Times New Roman"/>
                <w:sz w:val="20"/>
                <w:szCs w:val="20"/>
              </w:rPr>
            </w:pPr>
            <w:r>
              <w:rPr>
                <w:rFonts w:cs="Times New Roman" w:ascii="Arial Narrow" w:hAnsi="Arial Narrow"/>
                <w:sz w:val="20"/>
                <w:szCs w:val="20"/>
              </w:rPr>
              <w:t>/</w:t>
            </w:r>
          </w:p>
        </w:tc>
        <w:tc>
          <w:tcPr>
            <w:tcW w:w="204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118" w:type="dxa"/>
            </w:tcMar>
          </w:tcPr>
          <w:p>
            <w:pPr>
              <w:pStyle w:val="Normal"/>
              <w:spacing w:lineRule="auto" w:line="240" w:before="0" w:after="120"/>
              <w:jc w:val="both"/>
              <w:rPr>
                <w:rFonts w:ascii="Arial Narrow" w:hAnsi="Arial Narrow" w:cs="Times New Roman"/>
                <w:sz w:val="20"/>
                <w:szCs w:val="20"/>
              </w:rPr>
            </w:pPr>
            <w:r>
              <w:rPr>
                <w:rFonts w:cs="Times New Roman" w:ascii="Arial Narrow" w:hAnsi="Arial Narrow"/>
                <w:sz w:val="20"/>
                <w:szCs w:val="20"/>
              </w:rPr>
              <w:t>/</w:t>
            </w:r>
          </w:p>
        </w:tc>
        <w:tc>
          <w:tcPr>
            <w:tcW w:w="2635" w:type="dxa"/>
            <w:tcBorders>
              <w:top w:val="single" w:sz="2" w:space="0" w:color="00000A"/>
              <w:left w:val="single" w:sz="2" w:space="0" w:color="00000A"/>
              <w:bottom w:val="single" w:sz="2" w:space="0" w:color="00000A"/>
              <w:right w:val="single" w:sz="18" w:space="0" w:color="00000A"/>
              <w:insideH w:val="single" w:sz="2" w:space="0" w:color="00000A"/>
              <w:insideV w:val="single" w:sz="18" w:space="0" w:color="00000A"/>
            </w:tcBorders>
            <w:shd w:fill="auto" w:val="clear"/>
            <w:tcMar>
              <w:left w:w="118" w:type="dxa"/>
            </w:tcMar>
          </w:tcPr>
          <w:p>
            <w:pPr>
              <w:pStyle w:val="Normal"/>
              <w:spacing w:lineRule="auto" w:line="240" w:before="0" w:after="120"/>
              <w:jc w:val="both"/>
              <w:rPr>
                <w:rFonts w:ascii="Arial Narrow" w:hAnsi="Arial Narrow" w:cs="Times New Roman"/>
                <w:sz w:val="20"/>
                <w:szCs w:val="20"/>
              </w:rPr>
            </w:pPr>
            <w:r>
              <w:rPr>
                <w:rFonts w:cs="Times New Roman" w:ascii="Arial Narrow" w:hAnsi="Arial Narrow"/>
                <w:sz w:val="20"/>
                <w:szCs w:val="20"/>
              </w:rPr>
              <w:t>/</w:t>
            </w:r>
          </w:p>
        </w:tc>
      </w:tr>
    </w:tbl>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Narrow">
    <w:charset w:val="ee"/>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hr-H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Batang" w:cs="" w:asciiTheme="minorHAnsi" w:cstheme="minorBidi" w:hAnsiTheme="minorHAnsi"/>
        <w:szCs w:val="22"/>
        <w:lang w:val="hr-HR" w:eastAsia="ko-KR"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0986"/>
    <w:pPr>
      <w:widowControl/>
      <w:bidi w:val="0"/>
      <w:spacing w:lineRule="auto" w:line="276" w:before="0" w:after="200"/>
      <w:jc w:val="left"/>
    </w:pPr>
    <w:rPr>
      <w:rFonts w:ascii="Calibri" w:hAnsi="Calibri" w:eastAsia="宋体" w:cs="" w:eastAsiaTheme="minorEastAsia"/>
      <w:color w:val="00000A"/>
      <w:sz w:val="22"/>
      <w:szCs w:val="22"/>
      <w:lang w:val="hr-HR" w:eastAsia="zh-CN" w:bidi="ar-SA"/>
    </w:rPr>
  </w:style>
  <w:style w:type="paragraph" w:styleId="Stilnaslova1">
    <w:name w:val="Stil naslova 1"/>
    <w:basedOn w:val="Stilnaslova"/>
    <w:pPr/>
    <w:rPr/>
  </w:style>
  <w:style w:type="paragraph" w:styleId="Stilnaslova2">
    <w:name w:val="Stil naslova 2"/>
    <w:basedOn w:val="Stilnaslova"/>
    <w:pPr/>
    <w:rPr/>
  </w:style>
  <w:style w:type="paragraph" w:styleId="Stilnaslova3">
    <w:name w:val="Stil naslova 3"/>
    <w:basedOn w:val="Stilnaslova"/>
    <w:pPr/>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spacing w:before="240" w:after="120"/>
    </w:pPr>
    <w:rPr>
      <w:rFonts w:ascii="Liberation Sans" w:hAnsi="Liberation Sans" w:eastAsia="Microsoft YaHei" w:cs="Arial"/>
      <w:sz w:val="28"/>
      <w:szCs w:val="28"/>
    </w:rPr>
  </w:style>
  <w:style w:type="paragraph" w:styleId="Tijeloteksta">
    <w:name w:val="Tijelo teksta"/>
    <w:basedOn w:val="Normal"/>
    <w:pPr>
      <w:spacing w:lineRule="auto" w:line="288" w:before="0" w:after="140"/>
    </w:pPr>
    <w:rPr/>
  </w:style>
  <w:style w:type="paragraph" w:styleId="Popis">
    <w:name w:val="Popis"/>
    <w:basedOn w:val="Tijeloteksta"/>
    <w:pPr/>
    <w:rPr>
      <w:rFonts w:cs="Arial"/>
    </w:rPr>
  </w:style>
  <w:style w:type="paragraph" w:styleId="Opiselementa">
    <w:name w:val="Opis elementa"/>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Caption">
    <w:name w:val="caption"/>
    <w:basedOn w:val="Normal"/>
    <w:next w:val="Normal"/>
    <w:uiPriority w:val="35"/>
    <w:qFormat/>
    <w:rsid w:val="005b0986"/>
    <w:pPr/>
    <w:rPr>
      <w:rFonts w:ascii="Calibri" w:hAnsi="Calibri" w:eastAsia="Calibri" w:cs="Times New Roman"/>
      <w:b/>
      <w:bCs/>
      <w:sz w:val="20"/>
      <w:szCs w:val="20"/>
      <w:lang w:eastAsia="en-US"/>
    </w:rPr>
  </w:style>
  <w:style w:type="paragraph" w:styleId="Citati">
    <w:name w:val="Citati"/>
    <w:basedOn w:val="Normal"/>
    <w:qFormat/>
    <w:pPr/>
    <w:rPr/>
  </w:style>
  <w:style w:type="paragraph" w:styleId="Naslov">
    <w:name w:val="Naslov"/>
    <w:basedOn w:val="Stilnaslova"/>
    <w:pPr/>
    <w:rPr/>
  </w:style>
  <w:style w:type="paragraph" w:styleId="Podnaslov">
    <w:name w:val="Podnaslov"/>
    <w:basedOn w:val="Stilnaslova"/>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Application>LibreOffice/5.0.2.2$Windows_X86_64 LibreOffice_project/37b43f919e4de5eeaca9b9755ed688758a8251fe</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2017-01-02T14:12:00Z</dcterms:created>
  <dc:creator>Korisnik</dc:creator>
  <dc:language>hr-HR</dc:language>
  <dcterms:modified xsi:type="dcterms:W3CDTF">2019-01-07T12:04:50Z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