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3942"/>
        <w:gridCol w:w="5300"/>
      </w:tblGrid>
      <w:tr>
        <w:trPr>
          <w:trHeight w:val="1416" w:hRule="atLeast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U POSTUPKU DONOŠENJA </w:t>
            </w:r>
            <w:bookmarkStart w:id="1" w:name="__DdeLink__119_1410260423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PROGRAM</w:t>
            </w:r>
            <w:bookmarkEnd w:id="1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 UTROŠKA SREDSTAVA KOMUNALNE NAKNADE OPĆINE KRALJEVEC NA SUTLI ZA 2019. GODINU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bookmarkStart w:id="2" w:name="__DdeLink__119_14102604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UTROŠKA SREDSTAVA KOMUNALNE NAKNADE OPĆINE KRALJEVEC NA SUTLI ZA 2019. GODINU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Jedinstveni upravni odjel Općine Kraljevec na Sutli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Tijeloteksta"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Komunalna naknada je prihod proračuna jedinice lokalne samouprave. Sredstva komunalne naknade namijenjena su financiranju obavljanja ovih komunalnih djelatnosti: materijali za ceste, usluge tekućeg i investicijskog održavanja cesta i za električnu energiju za javnu rasvjetu.</w:t>
            </w:r>
          </w:p>
        </w:tc>
      </w:tr>
      <w:tr>
        <w:trPr>
          <w:trHeight w:val="525" w:hRule="atLeast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/www.kraljevecnasutli.hr/otvorena-savjetovanja/</w:t>
            </w:r>
          </w:p>
        </w:tc>
      </w:tr>
      <w:tr>
        <w:trPr>
          <w:trHeight w:val="1007" w:hRule="atLeast"/>
        </w:trPr>
        <w:tc>
          <w:tcPr>
            <w:tcW w:w="394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30 dana – od 14.1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.2018. do 15.12.2018.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Nije bilo primjedbi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Nije bilo primjedbi.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-89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5" w:type="dxa"/>
          <w:bottom w:w="0" w:type="dxa"/>
          <w:right w:w="108" w:type="dxa"/>
        </w:tblCellMar>
        <w:tblLook w:val="04a0"/>
      </w:tblPr>
      <w:tblGrid>
        <w:gridCol w:w="769"/>
        <w:gridCol w:w="1886"/>
        <w:gridCol w:w="1985"/>
        <w:gridCol w:w="2046"/>
        <w:gridCol w:w="2636"/>
      </w:tblGrid>
      <w:tr>
        <w:trPr/>
        <w:tc>
          <w:tcPr>
            <w:tcW w:w="769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6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6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LibreOffice/5.0.2.2$Windows_X86_64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dcterms:modified xsi:type="dcterms:W3CDTF">2019-01-07T08:49:22Z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