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20_1378943078"/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FINANCIRANJA POTREBA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U ŠPORTU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FINANCIRANJA POTREBA U ŠPORTU ZA 2019. GODINU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LibreOffice/5.0.2.2$Windows_X86_64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2018-11-26T13:56:09Z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