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20_1378943078"/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FINANCIRANJA POTREBA SOCIJALNE SKRBI OPĆINE KRALJEVEC NA SUTLI ZA 2019. GODINU 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PROGRAM FINANCIRANJA POTREBA SOCIJALNE SKRBI OPĆINE KRALJEVEC NA SUTLI ZA 2019. GODINU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2018-11-26T13:54:43Z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